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5334B471"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w:t>
      </w:r>
      <w:r w:rsidR="0081613D">
        <w:rPr>
          <w:rFonts w:ascii="Trebuchet MS" w:eastAsia="Calibri" w:hAnsi="Trebuchet MS"/>
          <w:b/>
          <w:sz w:val="22"/>
          <w:szCs w:val="24"/>
          <w:lang w:val="ro-RO"/>
        </w:rPr>
        <w:t>10.Contract de finantare</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pentru Programul .............................., cu   sediul   în   str.   ……………………….…………..,   nr.   ……..,   localitatea ………………………….………,  județul  …………………….……..,  România,  cod  postal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w:t>
      </w:r>
      <w:r w:rsidR="00CC4EC4" w:rsidRPr="009D6072">
        <w:rPr>
          <w:rFonts w:ascii="Trebuchet MS" w:hAnsi="Trebuchet MS" w:cs="Arial"/>
          <w:sz w:val="22"/>
          <w:szCs w:val="24"/>
          <w:lang w:val="ro-RO"/>
        </w:rPr>
        <w:lastRenderedPageBreak/>
        <w:t>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5157123"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de 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w:t>
      </w:r>
      <w:r w:rsidR="00C44B6A" w:rsidRPr="009D6072">
        <w:rPr>
          <w:rFonts w:ascii="Trebuchet MS" w:eastAsia="Arial" w:hAnsi="Trebuchet MS"/>
          <w:sz w:val="22"/>
          <w:szCs w:val="24"/>
          <w:lang w:val="ro-RO"/>
        </w:rPr>
        <w:lastRenderedPageBreak/>
        <w:t>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incl.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incl.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Valoare totală neeligibilă a proiectului, incl.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w:t>
      </w:r>
      <w:r w:rsidR="00E060C8" w:rsidRPr="009D6072">
        <w:rPr>
          <w:rFonts w:ascii="Trebuchet MS" w:eastAsia="Arial" w:hAnsi="Trebuchet MS"/>
          <w:sz w:val="22"/>
          <w:szCs w:val="22"/>
          <w:lang w:val="ro-RO"/>
        </w:rPr>
        <w:lastRenderedPageBreak/>
        <w:t xml:space="preserve">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w:t>
      </w:r>
      <w:r w:rsidR="00420A2A" w:rsidRPr="009D6072">
        <w:rPr>
          <w:rFonts w:ascii="Trebuchet MS" w:eastAsia="Arial" w:hAnsi="Trebuchet MS"/>
          <w:sz w:val="22"/>
          <w:szCs w:val="22"/>
          <w:lang w:val="ro-RO"/>
        </w:rPr>
        <w:lastRenderedPageBreak/>
        <w:t>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încărca, în sistemul MySMIS2021, dosarul aferent achizițiilor realizate, în format electronic, 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w:t>
      </w:r>
      <w:r w:rsidR="009B10CA" w:rsidRPr="009D6072">
        <w:rPr>
          <w:rFonts w:ascii="Trebuchet MS" w:eastAsia="Arial" w:hAnsi="Trebuchet MS"/>
          <w:sz w:val="22"/>
          <w:szCs w:val="22"/>
          <w:lang w:val="ro-RO"/>
        </w:rPr>
        <w:lastRenderedPageBreak/>
        <w:t xml:space="preserve">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lastRenderedPageBreak/>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lastRenderedPageBreak/>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 xml:space="preserve">hetul </w:t>
      </w:r>
      <w:r w:rsidR="00D3025A" w:rsidRPr="009D6072">
        <w:rPr>
          <w:rFonts w:ascii="Trebuchet MS" w:hAnsi="Trebuchet MS"/>
          <w:sz w:val="22"/>
          <w:szCs w:val="24"/>
          <w:lang w:val="ro-RO"/>
        </w:rPr>
        <w:lastRenderedPageBreak/>
        <w:t>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lastRenderedPageBreak/>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lastRenderedPageBreak/>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63809AF1"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w:t>
      </w:r>
      <w:r w:rsidR="0082298D">
        <w:rPr>
          <w:rFonts w:ascii="Trebuchet MS" w:eastAsia="Arial" w:hAnsi="Trebuchet MS"/>
          <w:position w:val="1"/>
          <w:sz w:val="22"/>
          <w:szCs w:val="24"/>
          <w:lang w:val="ro-RO"/>
        </w:rPr>
        <w:t xml:space="preserve"> </w:t>
      </w:r>
      <w:bookmarkStart w:id="3" w:name="_GoBack"/>
      <w:bookmarkEnd w:id="3"/>
      <w:r w:rsidR="00EC6B7B" w:rsidRPr="009D6072">
        <w:rPr>
          <w:rFonts w:ascii="Trebuchet MS" w:eastAsia="Arial" w:hAnsi="Trebuchet MS"/>
          <w:position w:val="1"/>
          <w:sz w:val="22"/>
          <w:szCs w:val="24"/>
          <w:lang w:val="ro-RO"/>
        </w:rPr>
        <w:t>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lastRenderedPageBreak/>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&lt;se va introduce de către AM/OI doar dacă AM/OI a prevăzut în Ghid  clauza rezolutorie&gt;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lastRenderedPageBreak/>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 xml:space="preserve">_____se va </w:t>
      </w:r>
      <w:r w:rsidR="003C130A" w:rsidRPr="009D6072">
        <w:rPr>
          <w:rFonts w:ascii="Trebuchet MS" w:eastAsia="Arial" w:hAnsi="Trebuchet MS"/>
          <w:spacing w:val="-1"/>
          <w:sz w:val="22"/>
          <w:szCs w:val="24"/>
          <w:highlight w:val="lightGray"/>
          <w:lang w:val="ro-RO"/>
        </w:rPr>
        <w:lastRenderedPageBreak/>
        <w:t>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footerReference w:type="default" r:id="rId9"/>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7A970" w14:textId="77777777" w:rsidR="00037FEE" w:rsidRDefault="00037FEE">
      <w:r>
        <w:separator/>
      </w:r>
    </w:p>
  </w:endnote>
  <w:endnote w:type="continuationSeparator" w:id="0">
    <w:p w14:paraId="3BA2CEAA" w14:textId="77777777" w:rsidR="00037FEE" w:rsidRDefault="00037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2131"/>
      <w:docPartObj>
        <w:docPartGallery w:val="Page Numbers (Bottom of Page)"/>
        <w:docPartUnique/>
      </w:docPartObj>
    </w:sdtPr>
    <w:sdtEndPr>
      <w:rPr>
        <w:noProof/>
      </w:rPr>
    </w:sdtEndPr>
    <w:sdtContent>
      <w:p w14:paraId="0ABD5088" w14:textId="5357AA29" w:rsidR="008E5C62" w:rsidRDefault="008E5C62">
        <w:pPr>
          <w:pStyle w:val="Footer"/>
          <w:jc w:val="center"/>
        </w:pPr>
        <w:r>
          <w:fldChar w:fldCharType="begin"/>
        </w:r>
        <w:r>
          <w:instrText xml:space="preserve"> PAGE   \* MERGEFORMAT </w:instrText>
        </w:r>
        <w:r>
          <w:fldChar w:fldCharType="separate"/>
        </w:r>
        <w:r w:rsidR="0052060D">
          <w:rPr>
            <w:noProof/>
          </w:rPr>
          <w:t>21</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B3731" w14:textId="77777777" w:rsidR="00037FEE" w:rsidRDefault="00037FEE">
      <w:r>
        <w:separator/>
      </w:r>
    </w:p>
  </w:footnote>
  <w:footnote w:type="continuationSeparator" w:id="0">
    <w:p w14:paraId="27BC94FB" w14:textId="77777777" w:rsidR="00037FEE" w:rsidRDefault="00037FEE">
      <w:r>
        <w:continuationSeparator/>
      </w:r>
    </w:p>
  </w:footnote>
  <w:footnote w:id="1">
    <w:p w14:paraId="6F26A4C5" w14:textId="5C5E2287" w:rsidR="008E5C62" w:rsidRPr="00D30B31" w:rsidRDefault="008E5C62"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52"/>
  </w:num>
  <w:num w:numId="3">
    <w:abstractNumId w:val="47"/>
  </w:num>
  <w:num w:numId="4">
    <w:abstractNumId w:val="28"/>
  </w:num>
  <w:num w:numId="5">
    <w:abstractNumId w:val="35"/>
  </w:num>
  <w:num w:numId="6">
    <w:abstractNumId w:val="38"/>
  </w:num>
  <w:num w:numId="7">
    <w:abstractNumId w:val="34"/>
  </w:num>
  <w:num w:numId="8">
    <w:abstractNumId w:val="33"/>
  </w:num>
  <w:num w:numId="9">
    <w:abstractNumId w:val="51"/>
  </w:num>
  <w:num w:numId="10">
    <w:abstractNumId w:val="26"/>
  </w:num>
  <w:num w:numId="11">
    <w:abstractNumId w:val="8"/>
  </w:num>
  <w:num w:numId="12">
    <w:abstractNumId w:val="16"/>
  </w:num>
  <w:num w:numId="13">
    <w:abstractNumId w:val="0"/>
  </w:num>
  <w:num w:numId="14">
    <w:abstractNumId w:val="45"/>
  </w:num>
  <w:num w:numId="15">
    <w:abstractNumId w:val="48"/>
  </w:num>
  <w:num w:numId="16">
    <w:abstractNumId w:val="40"/>
  </w:num>
  <w:num w:numId="17">
    <w:abstractNumId w:val="9"/>
  </w:num>
  <w:num w:numId="18">
    <w:abstractNumId w:val="14"/>
  </w:num>
  <w:num w:numId="19">
    <w:abstractNumId w:val="31"/>
  </w:num>
  <w:num w:numId="20">
    <w:abstractNumId w:val="50"/>
  </w:num>
  <w:num w:numId="21">
    <w:abstractNumId w:val="49"/>
  </w:num>
  <w:num w:numId="22">
    <w:abstractNumId w:val="10"/>
  </w:num>
  <w:num w:numId="23">
    <w:abstractNumId w:val="24"/>
  </w:num>
  <w:num w:numId="24">
    <w:abstractNumId w:val="46"/>
  </w:num>
  <w:num w:numId="25">
    <w:abstractNumId w:val="20"/>
  </w:num>
  <w:num w:numId="26">
    <w:abstractNumId w:val="22"/>
  </w:num>
  <w:num w:numId="27">
    <w:abstractNumId w:val="2"/>
  </w:num>
  <w:num w:numId="28">
    <w:abstractNumId w:val="21"/>
  </w:num>
  <w:num w:numId="29">
    <w:abstractNumId w:val="17"/>
  </w:num>
  <w:num w:numId="30">
    <w:abstractNumId w:val="36"/>
  </w:num>
  <w:num w:numId="31">
    <w:abstractNumId w:val="27"/>
  </w:num>
  <w:num w:numId="32">
    <w:abstractNumId w:val="41"/>
  </w:num>
  <w:num w:numId="33">
    <w:abstractNumId w:val="15"/>
  </w:num>
  <w:num w:numId="34">
    <w:abstractNumId w:val="19"/>
  </w:num>
  <w:num w:numId="35">
    <w:abstractNumId w:val="13"/>
  </w:num>
  <w:num w:numId="36">
    <w:abstractNumId w:val="42"/>
  </w:num>
  <w:num w:numId="37">
    <w:abstractNumId w:val="37"/>
  </w:num>
  <w:num w:numId="38">
    <w:abstractNumId w:val="30"/>
  </w:num>
  <w:num w:numId="39">
    <w:abstractNumId w:val="5"/>
  </w:num>
  <w:num w:numId="40">
    <w:abstractNumId w:val="1"/>
  </w:num>
  <w:num w:numId="41">
    <w:abstractNumId w:val="32"/>
  </w:num>
  <w:num w:numId="42">
    <w:abstractNumId w:val="29"/>
  </w:num>
  <w:num w:numId="43">
    <w:abstractNumId w:val="11"/>
  </w:num>
  <w:num w:numId="44">
    <w:abstractNumId w:val="4"/>
  </w:num>
  <w:num w:numId="45">
    <w:abstractNumId w:val="3"/>
  </w:num>
  <w:num w:numId="46">
    <w:abstractNumId w:val="39"/>
  </w:num>
  <w:num w:numId="47">
    <w:abstractNumId w:val="43"/>
  </w:num>
  <w:num w:numId="48">
    <w:abstractNumId w:val="6"/>
  </w:num>
  <w:num w:numId="49">
    <w:abstractNumId w:val="18"/>
  </w:num>
  <w:num w:numId="50">
    <w:abstractNumId w:val="23"/>
  </w:num>
  <w:num w:numId="51">
    <w:abstractNumId w:val="12"/>
  </w:num>
  <w:num w:numId="52">
    <w:abstractNumId w:val="7"/>
  </w:num>
  <w:num w:numId="53">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7FEE"/>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1AA"/>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13D"/>
    <w:rsid w:val="008169E3"/>
    <w:rsid w:val="00817481"/>
    <w:rsid w:val="008203B0"/>
    <w:rsid w:val="0082172B"/>
    <w:rsid w:val="0082241E"/>
    <w:rsid w:val="0082298D"/>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840D4-AB52-4023-B481-0A088BEBD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12242</Words>
  <Characters>69781</Characters>
  <Application>Microsoft Office Word</Application>
  <DocSecurity>0</DocSecurity>
  <Lines>581</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2023-05-29T11:04:00Z</dcterms:modified>
</cp:coreProperties>
</file>